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8E6AC5" w:rsidRPr="002B2BB1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8E6AC5" w:rsidRPr="002B2BB1" w:rsidRDefault="00D95B7D" w:rsidP="004B61D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Kalite Yöneticisi Görev Tanımı</w:t>
            </w:r>
          </w:p>
        </w:tc>
      </w:tr>
      <w:tr w:rsidR="008E6AC5" w:rsidRPr="002B2BB1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8E6AC5" w:rsidRPr="002B2BB1" w:rsidRDefault="00D95B7D" w:rsidP="004B61D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8E6AC5" w:rsidRPr="002B2BB1" w:rsidTr="00FB6A84">
        <w:trPr>
          <w:trHeight w:val="10350"/>
        </w:trPr>
        <w:tc>
          <w:tcPr>
            <w:tcW w:w="9640" w:type="dxa"/>
            <w:gridSpan w:val="2"/>
          </w:tcPr>
          <w:p w:rsidR="008E6AC5" w:rsidRPr="002B2BB1" w:rsidRDefault="008E6AC5" w:rsidP="00A0474B">
            <w:pPr>
              <w:rPr>
                <w:rFonts w:cstheme="minorHAnsi"/>
                <w:sz w:val="20"/>
                <w:szCs w:val="20"/>
              </w:rPr>
            </w:pPr>
          </w:p>
          <w:p w:rsidR="00D95B7D" w:rsidRPr="00D95B7D" w:rsidRDefault="00D95B7D" w:rsidP="00D95B7D">
            <w:pPr>
              <w:pStyle w:val="Balk3"/>
              <w:ind w:right="720"/>
              <w:jc w:val="both"/>
              <w:rPr>
                <w:rFonts w:asciiTheme="minorHAnsi" w:hAnsiTheme="minorHAnsi" w:cs="Arial"/>
                <w:bCs/>
                <w:sz w:val="20"/>
                <w:u w:val="none"/>
              </w:rPr>
            </w:pPr>
            <w:r w:rsidRPr="00D95B7D">
              <w:rPr>
                <w:rFonts w:asciiTheme="minorHAnsi" w:hAnsiTheme="minorHAnsi" w:cs="Arial"/>
                <w:bCs/>
                <w:sz w:val="20"/>
                <w:u w:val="none"/>
              </w:rPr>
              <w:t>YETKİ VE SORUMLULUKLAR</w:t>
            </w:r>
          </w:p>
          <w:p w:rsidR="00D95B7D" w:rsidRPr="00D95B7D" w:rsidRDefault="00D95B7D" w:rsidP="00D95B7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Kurumda </w:t>
            </w:r>
            <w:r w:rsidRPr="00D95B7D">
              <w:rPr>
                <w:rFonts w:cs="Arial"/>
                <w:bCs/>
                <w:noProof/>
                <w:color w:val="000000"/>
                <w:sz w:val="20"/>
                <w:szCs w:val="20"/>
              </w:rPr>
              <w:t xml:space="preserve">TS EN  ISO/IEC 17024 “Uygunluk Değerlendirmesi - Personel Belgelendirmesi Yapan Kuruluşlar İçin Genel Şartlar”  </w:t>
            </w:r>
            <w:r w:rsidRPr="00D95B7D">
              <w:rPr>
                <w:rFonts w:cs="Arial"/>
                <w:noProof/>
                <w:color w:val="000000"/>
                <w:sz w:val="20"/>
                <w:szCs w:val="20"/>
              </w:rPr>
              <w:t>standardının karşılanmasından, kalite ile ilgili çalışmaların organizasyon ve takibinden sorumlu olmak.</w:t>
            </w:r>
          </w:p>
          <w:p w:rsidR="00D95B7D" w:rsidRPr="00D95B7D" w:rsidRDefault="00D95B7D" w:rsidP="00D95B7D">
            <w:pPr>
              <w:spacing w:line="360" w:lineRule="auto"/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Kalite sisteminin etkin ve uygun şekilde yürütülmesini sağlamak üzere İç Denetimleri yapmak.</w:t>
            </w:r>
          </w:p>
          <w:p w:rsidR="00D95B7D" w:rsidRPr="00D95B7D" w:rsidRDefault="00D95B7D" w:rsidP="00D95B7D">
            <w:pPr>
              <w:spacing w:line="360" w:lineRule="auto"/>
              <w:ind w:left="502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Kalite Güvence dokümantasyon sistemini kontrol altında tutmak (</w:t>
            </w:r>
            <w:proofErr w:type="spellStart"/>
            <w:r w:rsidRPr="00D95B7D">
              <w:rPr>
                <w:rFonts w:cs="Arial"/>
                <w:sz w:val="20"/>
                <w:szCs w:val="20"/>
              </w:rPr>
              <w:t>Dokümante</w:t>
            </w:r>
            <w:proofErr w:type="spellEnd"/>
            <w:r w:rsidRPr="00D95B7D">
              <w:rPr>
                <w:rFonts w:cs="Arial"/>
                <w:sz w:val="20"/>
                <w:szCs w:val="20"/>
              </w:rPr>
              <w:t xml:space="preserve"> edilmesi, dağıtımı, geri toplanması, imhası, arşivlenmesi,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revizyonu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vs.)</w:t>
            </w:r>
          </w:p>
          <w:p w:rsidR="00D95B7D" w:rsidRPr="00D95B7D" w:rsidRDefault="00D95B7D" w:rsidP="00D95B7D">
            <w:pPr>
              <w:tabs>
                <w:tab w:val="left" w:pos="27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İlgili yerlerde “Kalite Güvence Sistem” dokümantasyonun son halinin bulunmasını sağlamak.</w:t>
            </w:r>
          </w:p>
          <w:p w:rsidR="00D95B7D" w:rsidRPr="00D95B7D" w:rsidRDefault="00D95B7D" w:rsidP="00D95B7D">
            <w:pPr>
              <w:tabs>
                <w:tab w:val="left" w:pos="270"/>
              </w:tabs>
              <w:spacing w:line="360" w:lineRule="auto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Yönetimin Gözden Geçirmesine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baz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olmak üzere İç Denetim Raporları, Müşteri Şikayet ve memnuniyet kayıtlarını ve Tedarikçi Değerlendirmelerini yönetime sunmak.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Kalite Yöneticisi yardımcısını yönlendirmek</w:t>
            </w:r>
          </w:p>
          <w:p w:rsidR="00D95B7D" w:rsidRPr="00D95B7D" w:rsidRDefault="00D95B7D" w:rsidP="00D95B7D">
            <w:pPr>
              <w:tabs>
                <w:tab w:val="left" w:pos="27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Kalite Yöneticisi yardımcısı ile birlikte Kalite el kitabının hazırlanmasını, dağıtımını ve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revizyonunu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sağlamak.</w:t>
            </w:r>
          </w:p>
          <w:p w:rsidR="00D95B7D" w:rsidRPr="00D95B7D" w:rsidRDefault="00D95B7D" w:rsidP="00D95B7D">
            <w:pPr>
              <w:tabs>
                <w:tab w:val="left" w:pos="270"/>
              </w:tabs>
              <w:spacing w:line="360" w:lineRule="auto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Kuruluş içi kalite denetimlerinde denetim heyetine yardımcı olmak uygunsuzlukların giderilmesine çalışmak.</w:t>
            </w:r>
          </w:p>
          <w:p w:rsidR="00D95B7D" w:rsidRPr="00D95B7D" w:rsidRDefault="00D95B7D" w:rsidP="00D95B7D">
            <w:pPr>
              <w:spacing w:line="360" w:lineRule="auto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“Yönetimin Gözden Geçirme” toplantısına katılmak,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raportörlüğünü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yapmak, alınan kararların uygulanmasını ve koordinasyonunu sağlamak.</w:t>
            </w:r>
          </w:p>
          <w:p w:rsidR="00D95B7D" w:rsidRPr="00D95B7D" w:rsidRDefault="00D95B7D" w:rsidP="00D95B7D">
            <w:pPr>
              <w:tabs>
                <w:tab w:val="left" w:pos="27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Yönetimin Gözden Geçirme ve Kalite Sisteminin iyileştirilmesi esas alınması amacı ile kalite sisteminin performansı konusunda yönetime rapor vermek.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27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Müdür’e karşı sorumlu olmak üzere, gerekli hallerde Müdür ve Müdür Yardımcısına vekâlet eder.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Kuruluş içi kalite denetimleri için: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ind w:left="540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Baş Denetçi olarak İç Denetimi yapmak, üst yönetime onaylatmak.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Yıllık iç denetim programını her yıl Kalite Yöneticisi yardımcısı ile koordineli çalışarak, denetlenecek bölümleri denetim tarihinden 15 gün önce yazılı olarak haberdar etmek.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İç denetim Programlarının planlanan tarihlerinde bir değişiklik olursa, ilgili bölüme yazılı olarak bildirmek. Yeni denetim tarihini tespit ederek programda gerekli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revizyonu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yaptırmak.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810"/>
                <w:tab w:val="left" w:pos="3494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color w:val="000000"/>
                <w:sz w:val="20"/>
                <w:szCs w:val="20"/>
              </w:rPr>
              <w:t>Yıllık Eğitim planını hazırlamak, uygulamak ve kayıtlandırmak. Veri analizlerini yapmak. Eğitim kayıtlarını tutmak.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81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color w:val="000000"/>
                <w:sz w:val="20"/>
                <w:szCs w:val="20"/>
              </w:rPr>
              <w:t xml:space="preserve">Düzenleyici /Önleyici faaliyetleri uygulamak. </w:t>
            </w:r>
            <w:proofErr w:type="spellStart"/>
            <w:r w:rsidRPr="00D95B7D">
              <w:rPr>
                <w:rFonts w:cs="Arial"/>
                <w:color w:val="000000"/>
                <w:sz w:val="20"/>
                <w:szCs w:val="20"/>
              </w:rPr>
              <w:t>DÖF’leri</w:t>
            </w:r>
            <w:proofErr w:type="spellEnd"/>
            <w:r w:rsidRPr="00D95B7D">
              <w:rPr>
                <w:rFonts w:cs="Arial"/>
                <w:color w:val="000000"/>
                <w:sz w:val="20"/>
                <w:szCs w:val="20"/>
              </w:rPr>
              <w:t xml:space="preserve"> açmak, takibini yaparak, kapamak.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Denetimlerin gerçekleştirilmesini sağlamak, sağlatmak. Gerektiğinde takip denetimi yaptırmak, denetimleri kapatmak.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81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İç kalite denetim raporlarını dosyalamak, muhafaza etmek, değerlendirmek, Yönetime sunmak.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Yasal ve Dış Kaynaklı Dokümanların takibini sağlamak ve ilgili bölüm ve çalışanlara duyurmak.</w:t>
            </w:r>
          </w:p>
          <w:p w:rsidR="00D95B7D" w:rsidRPr="00D95B7D" w:rsidRDefault="00D95B7D" w:rsidP="00D95B7D">
            <w:pPr>
              <w:tabs>
                <w:tab w:val="left" w:pos="349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tabs>
                <w:tab w:val="left" w:pos="810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Kalite güvence sistemi içerisinde yapılan istatistik çalışmalarını kontrol etmek. Kalite güvencesi konulu yazışmaları takip etmek.</w:t>
            </w:r>
          </w:p>
          <w:p w:rsidR="00D95B7D" w:rsidRPr="00D95B7D" w:rsidRDefault="00D95B7D" w:rsidP="00D95B7D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Müşteri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şikayetlerini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inceleyip, değerlendirmek, gerekirse temas kurmak.</w:t>
            </w:r>
          </w:p>
          <w:p w:rsidR="00D95B7D" w:rsidRPr="00D95B7D" w:rsidRDefault="00D95B7D" w:rsidP="00D95B7D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Müşteri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şikayetleri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ile direk muhatap olarak müşteri ile ilgilenmek, yazılı olarak müşteriye cevap vermek, gerektiğinde laboratuvara davet ederek ilgilenmek.</w:t>
            </w:r>
          </w:p>
          <w:p w:rsidR="00D95B7D" w:rsidRPr="00D95B7D" w:rsidRDefault="00D95B7D" w:rsidP="00D95B7D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Onaylı Tedarikçiler Listesini oluşturmak için Satın Alma Talimatına göre seçilen tedarikçileri, Tedarikçi Değerlendirme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Formunu  hazırlayarak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değerlendirmek.</w:t>
            </w:r>
          </w:p>
          <w:p w:rsidR="00D95B7D" w:rsidRPr="00D95B7D" w:rsidRDefault="00D95B7D" w:rsidP="00D95B7D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Satın Alma Sorumlusu ile birlikte Yönetim Gözden Geçirme Toplantılarına Tedarikçilerin ve Girdilerin İzleme Formunu hazırlayarak, periyodik olarak tedarikçileri değerlendirmek.</w:t>
            </w:r>
          </w:p>
          <w:p w:rsidR="00D95B7D" w:rsidRPr="00D95B7D" w:rsidRDefault="00D95B7D" w:rsidP="00D95B7D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Yasal Dokümanları takip eder ve gerekenleri kurum çalışanlarına duyurur.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Müşteri gereklilikleri, yasal gereklilikler, işletme kalite politikası ve ilgili                  prosedürler uyarınca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Kalite  Güvence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Programının etkin bir şekilde yaşatılmasını  sağlar.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MYK mevzuatının ve bu mevzuattan doğan gerekliliklerin yerine getirilmesini güvence altına almak üzere ulusal yeterliliklerin ölçme, değerlendirme ve belgelendirme süreçlerini izler, her bir ulusal yeterliliğe yönelik iç doğrulama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prosedürünün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uygulanmasını sağlar.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İç doğrulama sürecine ilişkin faaliyetlerin planlanmasını ve koordine edilmesini sağlar.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 xml:space="preserve">İç doğrulama </w:t>
            </w:r>
            <w:proofErr w:type="gramStart"/>
            <w:r w:rsidRPr="00D95B7D">
              <w:rPr>
                <w:rFonts w:cs="Arial"/>
                <w:sz w:val="20"/>
                <w:szCs w:val="20"/>
              </w:rPr>
              <w:t>prosedürlerinin</w:t>
            </w:r>
            <w:proofErr w:type="gramEnd"/>
            <w:r w:rsidRPr="00D95B7D">
              <w:rPr>
                <w:rFonts w:cs="Arial"/>
                <w:sz w:val="20"/>
                <w:szCs w:val="20"/>
              </w:rPr>
              <w:t xml:space="preserve"> yeterlilik bazlı tasarlanması ve işletilmesi gibi günlük görevleri yerine getirir ve İç doğrulayıcıların görev takvimini takip eder.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İç doğrulama faaliyetlerine ilişkin tüm kayıtların tutulmasını ve saklanmasını sağlar.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Çalışanların, sınav yapıcıların ve iç doğrulayıcıların eğitim ihtiyaçlarının tespiti ve giderilmesini koordine eder.</w:t>
            </w:r>
          </w:p>
          <w:p w:rsidR="00D95B7D" w:rsidRPr="00D95B7D" w:rsidRDefault="00D95B7D" w:rsidP="00D95B7D">
            <w:pPr>
              <w:pStyle w:val="ListeParagraf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D95B7D">
              <w:rPr>
                <w:rFonts w:cs="Arial"/>
                <w:sz w:val="20"/>
                <w:szCs w:val="20"/>
              </w:rPr>
              <w:t>Denetim, dış doğrulama işlemleri ve diğer konularda MYK irtibat kişisi olarak hareket eder ve MYK tarafından iletilen uygunsuzlukların, tebligatların, talimatların ve uyarıların ilgili birimler, iç doğrulayıcılar ve sınav yapıcılara iletilmesini sağlar.</w:t>
            </w:r>
          </w:p>
          <w:p w:rsidR="00D95B7D" w:rsidRPr="00D95B7D" w:rsidRDefault="00D95B7D" w:rsidP="00D95B7D">
            <w:pPr>
              <w:pStyle w:val="ListeParagraf"/>
              <w:ind w:left="0"/>
              <w:jc w:val="both"/>
              <w:rPr>
                <w:rFonts w:asciiTheme="minorHAnsi" w:hAnsiTheme="minorHAnsi" w:cs="Arial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  <w:r w:rsidRPr="00D95B7D">
              <w:rPr>
                <w:rFonts w:cs="Arial"/>
                <w:i/>
                <w:sz w:val="20"/>
                <w:szCs w:val="20"/>
                <w:u w:val="single"/>
              </w:rPr>
              <w:t>MYK Web Portalden Merkez Müdürü ile birlikte sorumlu olmak</w:t>
            </w:r>
          </w:p>
          <w:p w:rsidR="00D95B7D" w:rsidRPr="00D95B7D" w:rsidRDefault="00D95B7D" w:rsidP="00D95B7D">
            <w:pPr>
              <w:pStyle w:val="ListeParagraf"/>
              <w:rPr>
                <w:rFonts w:asciiTheme="minorHAnsi" w:hAnsiTheme="minorHAnsi" w:cs="Arial"/>
                <w:i/>
                <w:u w:val="single"/>
              </w:rPr>
            </w:pPr>
          </w:p>
          <w:p w:rsidR="00D95B7D" w:rsidRPr="00D95B7D" w:rsidRDefault="00D95B7D" w:rsidP="00D95B7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  <w:r w:rsidRPr="00D95B7D">
              <w:rPr>
                <w:rFonts w:cs="Arial"/>
                <w:i/>
                <w:sz w:val="20"/>
                <w:szCs w:val="20"/>
                <w:u w:val="single"/>
              </w:rPr>
              <w:t>Belgelendirme sınav ücretlerinin araştırmasını yapmak ve müdüre sunmak.</w:t>
            </w:r>
          </w:p>
          <w:p w:rsidR="00D95B7D" w:rsidRPr="00D95B7D" w:rsidRDefault="00D95B7D" w:rsidP="00D95B7D">
            <w:pPr>
              <w:pStyle w:val="Balk4"/>
              <w:spacing w:line="360" w:lineRule="auto"/>
              <w:ind w:left="360"/>
              <w:rPr>
                <w:rFonts w:asciiTheme="minorHAnsi" w:hAnsiTheme="minorHAnsi" w:cs="Arial"/>
                <w:color w:val="000000"/>
                <w:sz w:val="20"/>
                <w:u w:val="none"/>
              </w:rPr>
            </w:pPr>
          </w:p>
          <w:p w:rsidR="00D95B7D" w:rsidRPr="00D95B7D" w:rsidRDefault="00D95B7D" w:rsidP="00D95B7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95B7D" w:rsidRPr="00D95B7D" w:rsidRDefault="00D95B7D" w:rsidP="00D95B7D">
            <w:pPr>
              <w:pStyle w:val="Balk4"/>
              <w:spacing w:line="360" w:lineRule="auto"/>
              <w:ind w:left="360"/>
              <w:rPr>
                <w:rFonts w:asciiTheme="minorHAnsi" w:hAnsiTheme="minorHAnsi" w:cs="Arial"/>
                <w:color w:val="000000"/>
                <w:sz w:val="20"/>
                <w:highlight w:val="cyan"/>
                <w:u w:val="none"/>
              </w:rPr>
            </w:pPr>
            <w:r w:rsidRPr="00D95B7D">
              <w:rPr>
                <w:rFonts w:asciiTheme="minorHAnsi" w:hAnsiTheme="minorHAnsi" w:cs="Arial"/>
                <w:color w:val="000000"/>
                <w:sz w:val="20"/>
                <w:u w:val="none"/>
              </w:rPr>
              <w:lastRenderedPageBreak/>
              <w:t>KALİTE İLE İLGİLİ GENEL SORUMLULUK</w:t>
            </w:r>
          </w:p>
          <w:p w:rsidR="00D95B7D" w:rsidRPr="00D95B7D" w:rsidRDefault="00D95B7D" w:rsidP="00D95B7D">
            <w:pPr>
              <w:tabs>
                <w:tab w:val="left" w:pos="810"/>
                <w:tab w:val="left" w:pos="900"/>
              </w:tabs>
              <w:spacing w:line="360" w:lineRule="auto"/>
              <w:ind w:right="702"/>
              <w:jc w:val="both"/>
              <w:rPr>
                <w:rFonts w:cs="Arial"/>
                <w:color w:val="000000"/>
                <w:sz w:val="20"/>
                <w:szCs w:val="20"/>
                <w:highlight w:val="cyan"/>
              </w:rPr>
            </w:pPr>
          </w:p>
          <w:p w:rsidR="00D95B7D" w:rsidRPr="00D95B7D" w:rsidRDefault="00D95B7D" w:rsidP="00D95B7D">
            <w:pPr>
              <w:numPr>
                <w:ilvl w:val="0"/>
                <w:numId w:val="5"/>
              </w:numPr>
              <w:tabs>
                <w:tab w:val="left" w:pos="810"/>
                <w:tab w:val="left" w:pos="990"/>
              </w:tabs>
              <w:spacing w:after="0" w:line="360" w:lineRule="auto"/>
              <w:ind w:right="189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D95B7D">
              <w:rPr>
                <w:rFonts w:cs="Arial"/>
                <w:b/>
                <w:color w:val="000000"/>
                <w:sz w:val="20"/>
                <w:szCs w:val="20"/>
              </w:rPr>
              <w:t>Toplam Kalite Yönetimi</w:t>
            </w:r>
            <w:r w:rsidRPr="00D95B7D">
              <w:rPr>
                <w:rFonts w:cs="Arial"/>
                <w:color w:val="000000"/>
                <w:sz w:val="20"/>
                <w:szCs w:val="20"/>
              </w:rPr>
              <w:t xml:space="preserve">’ni hedefleyen Kurumumuzda, tüm kurum çalışanları Yönetim Sistemi kapsamındaki </w:t>
            </w:r>
            <w:proofErr w:type="gramStart"/>
            <w:r w:rsidRPr="00D95B7D">
              <w:rPr>
                <w:rFonts w:cs="Arial"/>
                <w:color w:val="000000"/>
                <w:sz w:val="20"/>
                <w:szCs w:val="20"/>
              </w:rPr>
              <w:t>prosedür</w:t>
            </w:r>
            <w:proofErr w:type="gramEnd"/>
            <w:r w:rsidRPr="00D95B7D">
              <w:rPr>
                <w:rFonts w:cs="Arial"/>
                <w:color w:val="000000"/>
                <w:sz w:val="20"/>
                <w:szCs w:val="20"/>
              </w:rPr>
              <w:t xml:space="preserve"> ve talimatlar doğrultusunda kendi yaptıkları işlerin kalitesinden doğrudan sorumludurlar.  </w:t>
            </w:r>
          </w:p>
          <w:p w:rsidR="00D95B7D" w:rsidRPr="00D95B7D" w:rsidRDefault="00D95B7D" w:rsidP="00D95B7D">
            <w:pPr>
              <w:pStyle w:val="stBilgi"/>
              <w:spacing w:line="360" w:lineRule="auto"/>
              <w:ind w:right="360"/>
              <w:jc w:val="both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D95B7D" w:rsidRPr="00D95B7D" w:rsidRDefault="00D95B7D" w:rsidP="00D95B7D">
            <w:pPr>
              <w:pStyle w:val="stBilgi"/>
              <w:spacing w:line="360" w:lineRule="auto"/>
              <w:ind w:right="360" w:firstLine="360"/>
              <w:jc w:val="both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95B7D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>GÖREV İÇİN GEREKLİ ÖZELLİKLER</w:t>
            </w:r>
          </w:p>
          <w:p w:rsidR="00D95B7D" w:rsidRPr="00D95B7D" w:rsidRDefault="00D95B7D" w:rsidP="00D95B7D">
            <w:pPr>
              <w:pStyle w:val="stBilgi"/>
              <w:spacing w:line="360" w:lineRule="auto"/>
              <w:ind w:left="284" w:right="360"/>
              <w:jc w:val="both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D95B7D" w:rsidRPr="00D95B7D" w:rsidRDefault="00D95B7D" w:rsidP="00D95B7D">
            <w:pPr>
              <w:pStyle w:val="stBilgi"/>
              <w:spacing w:line="360" w:lineRule="auto"/>
              <w:ind w:left="284" w:right="360"/>
              <w:jc w:val="both"/>
              <w:rPr>
                <w:rFonts w:cs="Arial"/>
                <w:i/>
                <w:noProof/>
                <w:sz w:val="20"/>
                <w:szCs w:val="20"/>
                <w:u w:val="single"/>
              </w:rPr>
            </w:pPr>
            <w:r w:rsidRPr="00D95B7D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ÖĞRENİM: </w:t>
            </w:r>
            <w:r w:rsidRPr="00D95B7D">
              <w:rPr>
                <w:rFonts w:cs="Arial"/>
                <w:bCs/>
                <w:noProof/>
                <w:sz w:val="20"/>
                <w:szCs w:val="20"/>
              </w:rPr>
              <w:t>En az Lisans mezunu olmak.</w:t>
            </w:r>
          </w:p>
          <w:p w:rsidR="00D95B7D" w:rsidRPr="00D95B7D" w:rsidRDefault="00D95B7D" w:rsidP="00D95B7D">
            <w:pPr>
              <w:pStyle w:val="stBilgi"/>
              <w:spacing w:line="360" w:lineRule="auto"/>
              <w:ind w:left="270" w:right="360" w:hanging="270"/>
              <w:jc w:val="both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95B7D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      EĞİTİM</w:t>
            </w:r>
            <w:r w:rsidRPr="00D95B7D">
              <w:rPr>
                <w:rFonts w:cs="Arial"/>
                <w:noProof/>
                <w:color w:val="000000"/>
                <w:sz w:val="20"/>
                <w:szCs w:val="20"/>
              </w:rPr>
              <w:t xml:space="preserve">: </w:t>
            </w:r>
          </w:p>
          <w:p w:rsidR="00D95B7D" w:rsidRPr="00D95B7D" w:rsidRDefault="00D95B7D" w:rsidP="00D95B7D">
            <w:pPr>
              <w:pStyle w:val="stBilgi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line="360" w:lineRule="auto"/>
              <w:ind w:right="360"/>
              <w:jc w:val="both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95B7D">
              <w:rPr>
                <w:rFonts w:cs="Arial"/>
                <w:bCs/>
                <w:noProof/>
                <w:color w:val="000000"/>
                <w:sz w:val="20"/>
                <w:szCs w:val="20"/>
              </w:rPr>
              <w:t xml:space="preserve">TS EN  </w:t>
            </w:r>
            <w:r w:rsidRPr="00D95B7D">
              <w:rPr>
                <w:rFonts w:cs="Arial"/>
                <w:noProof/>
                <w:color w:val="000000"/>
                <w:sz w:val="20"/>
                <w:szCs w:val="20"/>
              </w:rPr>
              <w:t xml:space="preserve">ISO/IEC 17024 “Uygunluk Değerlendirmesi - Personel Belgelendirmesi Yapan Kuruluşlar İçin Genel Şartlar”  eğitimi almış olmak. </w:t>
            </w:r>
          </w:p>
          <w:p w:rsidR="00D95B7D" w:rsidRPr="00D95B7D" w:rsidRDefault="00D95B7D" w:rsidP="00D95B7D">
            <w:pPr>
              <w:pStyle w:val="stBilgi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line="360" w:lineRule="auto"/>
              <w:ind w:right="360"/>
              <w:jc w:val="both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95B7D">
              <w:rPr>
                <w:rFonts w:cs="Arial"/>
                <w:noProof/>
                <w:color w:val="000000"/>
                <w:sz w:val="20"/>
                <w:szCs w:val="20"/>
              </w:rPr>
              <w:t>MYK mevzuatı ve kuralları hakkında eğitim almış olmak.</w:t>
            </w:r>
          </w:p>
          <w:p w:rsidR="00D95B7D" w:rsidRPr="00D95B7D" w:rsidRDefault="00D95B7D" w:rsidP="00D95B7D">
            <w:pPr>
              <w:pStyle w:val="stBilgi"/>
              <w:spacing w:line="360" w:lineRule="auto"/>
              <w:ind w:right="360"/>
              <w:jc w:val="both"/>
              <w:rPr>
                <w:rFonts w:cs="Arial"/>
                <w:noProof/>
                <w:color w:val="000000"/>
                <w:sz w:val="20"/>
                <w:szCs w:val="20"/>
              </w:rPr>
            </w:pPr>
            <w:r w:rsidRPr="00D95B7D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    KİŞİSEL ÖZELLİKLER: </w:t>
            </w:r>
            <w:r w:rsidRPr="00D95B7D">
              <w:rPr>
                <w:rFonts w:cs="Arial"/>
                <w:noProof/>
                <w:color w:val="000000"/>
                <w:sz w:val="20"/>
                <w:szCs w:val="20"/>
              </w:rPr>
              <w:t>Kişilerarası iletişimi güçlü, sorun çözme   yeteneğine sahip olmak.</w:t>
            </w:r>
          </w:p>
          <w:p w:rsidR="008E6AC5" w:rsidRPr="002B2BB1" w:rsidRDefault="008E6AC5" w:rsidP="00A0474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Default="00F624CB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4CB" w:rsidRDefault="00F624CB" w:rsidP="00894FCE">
      <w:pPr>
        <w:spacing w:after="0" w:line="240" w:lineRule="auto"/>
      </w:pPr>
      <w:r>
        <w:separator/>
      </w:r>
    </w:p>
  </w:endnote>
  <w:endnote w:type="continuationSeparator" w:id="0">
    <w:p w:rsidR="00F624CB" w:rsidRDefault="00F624CB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7C" w:rsidRDefault="002103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7C" w:rsidRDefault="002103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7C" w:rsidRDefault="002103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4CB" w:rsidRDefault="00F624CB" w:rsidP="00894FCE">
      <w:pPr>
        <w:spacing w:after="0" w:line="240" w:lineRule="auto"/>
      </w:pPr>
      <w:r>
        <w:separator/>
      </w:r>
    </w:p>
  </w:footnote>
  <w:footnote w:type="continuationSeparator" w:id="0">
    <w:p w:rsidR="00F624CB" w:rsidRDefault="00F624CB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7C" w:rsidRDefault="002103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894FCE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94FCE" w:rsidRPr="007128B1" w:rsidRDefault="009F7D74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5E66A6C" wp14:editId="738D689B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94FCE" w:rsidRPr="004A1632" w:rsidRDefault="00D95B7D" w:rsidP="00894FCE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KALİTE YÖNETİCİSİ GÖREV TANIMI</w:t>
          </w: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94FCE" w:rsidRPr="00920F0C" w:rsidRDefault="0021037C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KYS-GRV-083</w:t>
          </w:r>
          <w:bookmarkStart w:id="0" w:name="_GoBack"/>
          <w:bookmarkEnd w:id="0"/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94FCE" w:rsidRPr="00920F0C" w:rsidRDefault="009F7D74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7128B1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9F7D74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94FCE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8015C0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94FCE" w:rsidRPr="00920F0C" w:rsidRDefault="00B02E0F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1037C">
            <w:rPr>
              <w:rFonts w:cstheme="minorHAnsi"/>
              <w:b/>
              <w:bCs/>
              <w:noProof/>
              <w:sz w:val="18"/>
              <w:szCs w:val="18"/>
            </w:rPr>
            <w:t>4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920F0C">
            <w:rPr>
              <w:rFonts w:cstheme="minorHAnsi"/>
              <w:b/>
              <w:sz w:val="18"/>
              <w:szCs w:val="18"/>
            </w:rPr>
            <w:t xml:space="preserve"> / 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1037C">
            <w:rPr>
              <w:rFonts w:cstheme="minorHAnsi"/>
              <w:b/>
              <w:bCs/>
              <w:noProof/>
              <w:sz w:val="18"/>
              <w:szCs w:val="18"/>
            </w:rPr>
            <w:t>4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7C" w:rsidRDefault="002103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B"/>
    <w:rsid w:val="000F1160"/>
    <w:rsid w:val="00157942"/>
    <w:rsid w:val="001D410A"/>
    <w:rsid w:val="0020226B"/>
    <w:rsid w:val="0021037C"/>
    <w:rsid w:val="0022311C"/>
    <w:rsid w:val="0033103B"/>
    <w:rsid w:val="00375B88"/>
    <w:rsid w:val="003C0CA7"/>
    <w:rsid w:val="003C2195"/>
    <w:rsid w:val="004A1632"/>
    <w:rsid w:val="004B61DD"/>
    <w:rsid w:val="00610876"/>
    <w:rsid w:val="007F408E"/>
    <w:rsid w:val="00894FCE"/>
    <w:rsid w:val="008A6F29"/>
    <w:rsid w:val="008E6AC5"/>
    <w:rsid w:val="00920F0C"/>
    <w:rsid w:val="00985D3E"/>
    <w:rsid w:val="009F7D74"/>
    <w:rsid w:val="00A72385"/>
    <w:rsid w:val="00B02E0F"/>
    <w:rsid w:val="00B17E36"/>
    <w:rsid w:val="00CB6C12"/>
    <w:rsid w:val="00D62487"/>
    <w:rsid w:val="00D95B7D"/>
    <w:rsid w:val="00E04C18"/>
    <w:rsid w:val="00E43FFD"/>
    <w:rsid w:val="00E84308"/>
    <w:rsid w:val="00F624CB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56E"/>
  <w15:docId w15:val="{C0C81090-B328-474B-9657-F2669AB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Elif TURAN</cp:lastModifiedBy>
  <cp:revision>4</cp:revision>
  <dcterms:created xsi:type="dcterms:W3CDTF">2022-03-12T10:19:00Z</dcterms:created>
  <dcterms:modified xsi:type="dcterms:W3CDTF">2025-01-15T13:04:00Z</dcterms:modified>
</cp:coreProperties>
</file>